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B250" w14:textId="77777777" w:rsidR="0093306B" w:rsidRDefault="0093306B" w:rsidP="0093306B">
      <w:pPr>
        <w:shd w:val="clear" w:color="auto" w:fill="FFFFFF"/>
        <w:spacing w:before="120" w:after="120" w:line="240" w:lineRule="auto"/>
        <w:jc w:val="center"/>
        <w:rPr>
          <w:rFonts w:ascii="Calibri" w:hAnsi="Calibri" w:cs="Calibri"/>
          <w:b/>
          <w:color w:val="auto"/>
          <w:sz w:val="28"/>
          <w:szCs w:val="22"/>
        </w:rPr>
      </w:pPr>
    </w:p>
    <w:p w14:paraId="6CD1BA51" w14:textId="2974CFF5" w:rsidR="0093306B" w:rsidRDefault="0093306B" w:rsidP="0093306B">
      <w:pPr>
        <w:shd w:val="clear" w:color="auto" w:fill="FFFFFF"/>
        <w:spacing w:before="120" w:after="120" w:line="240" w:lineRule="auto"/>
        <w:jc w:val="center"/>
        <w:rPr>
          <w:rFonts w:ascii="Calibri" w:hAnsi="Calibri" w:cs="Calibri"/>
          <w:b/>
          <w:color w:val="auto"/>
          <w:sz w:val="28"/>
          <w:szCs w:val="22"/>
        </w:rPr>
      </w:pPr>
      <w:r>
        <w:rPr>
          <w:rFonts w:ascii="Calibri" w:hAnsi="Calibri" w:cs="Calibri"/>
          <w:b/>
          <w:color w:val="auto"/>
          <w:sz w:val="28"/>
          <w:szCs w:val="22"/>
        </w:rPr>
        <w:t>Szacowanie wartości zamówienia</w:t>
      </w:r>
    </w:p>
    <w:p w14:paraId="35FE985F" w14:textId="77777777" w:rsidR="00491A07" w:rsidRDefault="00491A07" w:rsidP="00491A07">
      <w:pPr>
        <w:pStyle w:val="Nagwek2"/>
        <w:spacing w:before="0" w:line="276" w:lineRule="auto"/>
        <w:jc w:val="center"/>
      </w:pPr>
      <w:r>
        <w:t xml:space="preserve">Organizacja i przeprowadzenie konkursu „Dni Funduszy Europejskich” </w:t>
      </w:r>
    </w:p>
    <w:p w14:paraId="38E370ED" w14:textId="77777777" w:rsidR="0093306B" w:rsidRDefault="0093306B" w:rsidP="0093306B">
      <w:pPr>
        <w:tabs>
          <w:tab w:val="left" w:pos="2977"/>
        </w:tabs>
        <w:spacing w:line="240" w:lineRule="auto"/>
        <w:jc w:val="both"/>
        <w:rPr>
          <w:rFonts w:ascii="Calibri" w:hAnsi="Calibri" w:cs="Calibri"/>
          <w:strike/>
        </w:rPr>
      </w:pPr>
    </w:p>
    <w:p w14:paraId="08700C11" w14:textId="77777777" w:rsidR="0093306B" w:rsidRDefault="0093306B" w:rsidP="0093306B">
      <w:pPr>
        <w:tabs>
          <w:tab w:val="left" w:pos="2977"/>
        </w:tabs>
        <w:spacing w:line="240" w:lineRule="auto"/>
        <w:jc w:val="both"/>
        <w:rPr>
          <w:rFonts w:ascii="Calibri" w:hAnsi="Calibri" w:cs="Calibri"/>
          <w:strike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018"/>
        <w:gridCol w:w="2693"/>
      </w:tblGrid>
      <w:tr w:rsidR="00491A07" w14:paraId="0942322E" w14:textId="77777777" w:rsidTr="00491A07">
        <w:tc>
          <w:tcPr>
            <w:tcW w:w="498" w:type="dxa"/>
            <w:shd w:val="clear" w:color="auto" w:fill="auto"/>
          </w:tcPr>
          <w:p w14:paraId="4D8BA518" w14:textId="77777777" w:rsidR="00491A07" w:rsidRDefault="00491A07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6018" w:type="dxa"/>
            <w:shd w:val="clear" w:color="auto" w:fill="auto"/>
          </w:tcPr>
          <w:p w14:paraId="0149570D" w14:textId="77777777" w:rsidR="00491A07" w:rsidRDefault="00491A07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759D2C37" w14:textId="77777777" w:rsidR="00491A07" w:rsidRDefault="00491A07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</w:tr>
      <w:tr w:rsidR="00491A07" w14:paraId="7E50E92C" w14:textId="77777777" w:rsidTr="0022362B">
        <w:trPr>
          <w:trHeight w:val="535"/>
        </w:trPr>
        <w:tc>
          <w:tcPr>
            <w:tcW w:w="498" w:type="dxa"/>
            <w:shd w:val="clear" w:color="auto" w:fill="auto"/>
          </w:tcPr>
          <w:p w14:paraId="4B8BD6A4" w14:textId="77777777" w:rsidR="00491A07" w:rsidRPr="0022362B" w:rsidRDefault="00491A07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22362B">
              <w:rPr>
                <w:rFonts w:ascii="Calibri" w:hAnsi="Calibri" w:cs="Calibri"/>
                <w:b/>
                <w:bCs/>
                <w:sz w:val="24"/>
              </w:rPr>
              <w:t>Nr</w:t>
            </w:r>
          </w:p>
        </w:tc>
        <w:tc>
          <w:tcPr>
            <w:tcW w:w="6018" w:type="dxa"/>
            <w:shd w:val="clear" w:color="auto" w:fill="auto"/>
          </w:tcPr>
          <w:p w14:paraId="4EB639CE" w14:textId="77777777" w:rsidR="00491A07" w:rsidRPr="0022362B" w:rsidRDefault="00491A07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22362B">
              <w:rPr>
                <w:rFonts w:ascii="Calibri" w:hAnsi="Calibri" w:cs="Calibri"/>
                <w:b/>
                <w:bCs/>
                <w:sz w:val="24"/>
              </w:rPr>
              <w:t>Nazwa zadania</w:t>
            </w:r>
          </w:p>
        </w:tc>
        <w:tc>
          <w:tcPr>
            <w:tcW w:w="2693" w:type="dxa"/>
            <w:shd w:val="clear" w:color="auto" w:fill="auto"/>
          </w:tcPr>
          <w:p w14:paraId="3FD460B6" w14:textId="28C935A0" w:rsidR="00491A07" w:rsidRPr="0022362B" w:rsidRDefault="00491A07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22362B">
              <w:rPr>
                <w:rFonts w:ascii="Calibri" w:hAnsi="Calibri" w:cs="Calibri"/>
                <w:b/>
                <w:bCs/>
                <w:sz w:val="24"/>
              </w:rPr>
              <w:t>Kwota brutto</w:t>
            </w:r>
          </w:p>
        </w:tc>
      </w:tr>
      <w:tr w:rsidR="00491A07" w14:paraId="275BB319" w14:textId="77777777" w:rsidTr="00491A07">
        <w:trPr>
          <w:trHeight w:val="964"/>
        </w:trPr>
        <w:tc>
          <w:tcPr>
            <w:tcW w:w="498" w:type="dxa"/>
            <w:shd w:val="clear" w:color="auto" w:fill="auto"/>
          </w:tcPr>
          <w:p w14:paraId="010E333A" w14:textId="77777777" w:rsidR="00491A07" w:rsidRDefault="00491A07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6018" w:type="dxa"/>
            <w:shd w:val="clear" w:color="auto" w:fill="auto"/>
          </w:tcPr>
          <w:p w14:paraId="18CFDD76" w14:textId="153E0B7D" w:rsidR="00491A07" w:rsidRDefault="00491A07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Zakup vouchera </w:t>
            </w:r>
            <w:r w:rsidR="002079C7">
              <w:rPr>
                <w:rFonts w:ascii="Calibri" w:hAnsi="Calibri" w:cs="Calibri"/>
                <w:sz w:val="24"/>
              </w:rPr>
              <w:t>hotelowego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96FC3D8" w14:textId="77777777" w:rsidR="00491A07" w:rsidRDefault="00491A07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  <w:p w14:paraId="608E692A" w14:textId="54ABC221" w:rsidR="00491A07" w:rsidRDefault="002079C7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  <w:r w:rsidR="00491A07">
              <w:rPr>
                <w:rFonts w:ascii="Calibri" w:hAnsi="Calibri" w:cs="Calibri"/>
                <w:sz w:val="24"/>
              </w:rPr>
              <w:t>000 zł</w:t>
            </w:r>
          </w:p>
        </w:tc>
      </w:tr>
      <w:tr w:rsidR="00491A07" w14:paraId="68AEA494" w14:textId="77777777" w:rsidTr="00491A07">
        <w:trPr>
          <w:trHeight w:val="1122"/>
        </w:trPr>
        <w:tc>
          <w:tcPr>
            <w:tcW w:w="498" w:type="dxa"/>
            <w:shd w:val="clear" w:color="auto" w:fill="auto"/>
          </w:tcPr>
          <w:p w14:paraId="03F28CBF" w14:textId="77777777" w:rsidR="00491A07" w:rsidRDefault="00491A07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6018" w:type="dxa"/>
            <w:shd w:val="clear" w:color="auto" w:fill="auto"/>
          </w:tcPr>
          <w:p w14:paraId="0B0E1F05" w14:textId="37A41E6F" w:rsidR="00491A07" w:rsidRDefault="00491A07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Zakup </w:t>
            </w:r>
            <w:r w:rsidRPr="00491A07">
              <w:rPr>
                <w:rFonts w:ascii="Calibri" w:hAnsi="Calibri" w:cs="Calibri"/>
                <w:sz w:val="24"/>
              </w:rPr>
              <w:t xml:space="preserve">20 podwójnych </w:t>
            </w:r>
            <w:r>
              <w:rPr>
                <w:rFonts w:ascii="Calibri" w:hAnsi="Calibri" w:cs="Calibri"/>
                <w:sz w:val="24"/>
              </w:rPr>
              <w:t>voucherów</w:t>
            </w:r>
            <w:r w:rsidRPr="00491A07">
              <w:rPr>
                <w:rFonts w:ascii="Calibri" w:hAnsi="Calibri" w:cs="Calibri"/>
                <w:sz w:val="24"/>
              </w:rPr>
              <w:t xml:space="preserve"> wstępu o wartości 300 zł/voucher</w:t>
            </w:r>
          </w:p>
        </w:tc>
        <w:tc>
          <w:tcPr>
            <w:tcW w:w="2693" w:type="dxa"/>
            <w:shd w:val="clear" w:color="auto" w:fill="auto"/>
          </w:tcPr>
          <w:p w14:paraId="165786AA" w14:textId="77777777" w:rsidR="00491A07" w:rsidRDefault="00491A07" w:rsidP="00491A07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  <w:p w14:paraId="37C8B14F" w14:textId="37E99074" w:rsidR="00491A07" w:rsidRDefault="00491A07" w:rsidP="00491A07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6000 zł</w:t>
            </w:r>
          </w:p>
        </w:tc>
      </w:tr>
      <w:tr w:rsidR="00491A07" w14:paraId="62ED9883" w14:textId="77777777" w:rsidTr="00491A07">
        <w:trPr>
          <w:trHeight w:val="1122"/>
        </w:trPr>
        <w:tc>
          <w:tcPr>
            <w:tcW w:w="498" w:type="dxa"/>
            <w:shd w:val="clear" w:color="auto" w:fill="auto"/>
          </w:tcPr>
          <w:p w14:paraId="28CFAF0B" w14:textId="7595A8FD" w:rsidR="00491A07" w:rsidRDefault="00491A07" w:rsidP="00491A07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6018" w:type="dxa"/>
            <w:shd w:val="clear" w:color="auto" w:fill="auto"/>
          </w:tcPr>
          <w:p w14:paraId="427B0D11" w14:textId="317327AB" w:rsidR="00491A07" w:rsidRPr="00491A07" w:rsidRDefault="00491A07" w:rsidP="00491A07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Zakup </w:t>
            </w:r>
            <w:r w:rsidRPr="00491A07">
              <w:rPr>
                <w:rFonts w:ascii="Calibri" w:hAnsi="Calibri" w:cs="Calibri"/>
                <w:sz w:val="24"/>
              </w:rPr>
              <w:t xml:space="preserve">30 </w:t>
            </w:r>
            <w:r w:rsidR="002079C7">
              <w:rPr>
                <w:rFonts w:ascii="Calibri" w:hAnsi="Calibri" w:cs="Calibri"/>
                <w:sz w:val="24"/>
              </w:rPr>
              <w:t xml:space="preserve">podwójnych </w:t>
            </w:r>
            <w:r w:rsidRPr="00491A07">
              <w:rPr>
                <w:rFonts w:ascii="Calibri" w:hAnsi="Calibri" w:cs="Calibri"/>
                <w:sz w:val="24"/>
              </w:rPr>
              <w:t xml:space="preserve">biletów wstępu o wartości 120 zł / bilet </w:t>
            </w:r>
          </w:p>
        </w:tc>
        <w:tc>
          <w:tcPr>
            <w:tcW w:w="2693" w:type="dxa"/>
            <w:shd w:val="clear" w:color="auto" w:fill="auto"/>
          </w:tcPr>
          <w:p w14:paraId="44A765B6" w14:textId="77777777" w:rsidR="00491A07" w:rsidRDefault="00491A07" w:rsidP="00491A07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  <w:p w14:paraId="05B122E1" w14:textId="36D5D70A" w:rsidR="00491A07" w:rsidRDefault="00491A07" w:rsidP="00491A07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3600 zł</w:t>
            </w:r>
          </w:p>
        </w:tc>
      </w:tr>
      <w:tr w:rsidR="00491A07" w14:paraId="0D2B0AF9" w14:textId="77777777" w:rsidTr="00491A07">
        <w:trPr>
          <w:trHeight w:val="1122"/>
        </w:trPr>
        <w:tc>
          <w:tcPr>
            <w:tcW w:w="498" w:type="dxa"/>
            <w:shd w:val="clear" w:color="auto" w:fill="auto"/>
          </w:tcPr>
          <w:p w14:paraId="73D255FD" w14:textId="75FC73EF" w:rsidR="00491A07" w:rsidRDefault="00491A07" w:rsidP="00491A07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6018" w:type="dxa"/>
            <w:shd w:val="clear" w:color="auto" w:fill="auto"/>
          </w:tcPr>
          <w:p w14:paraId="6739CA83" w14:textId="3402F4A9" w:rsidR="00491A07" w:rsidRPr="00491A07" w:rsidRDefault="00491A07" w:rsidP="00491A07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Koszt organizacji konkursu (wszelkie pozostałe koszty związane z realizacją umowy)</w:t>
            </w:r>
          </w:p>
        </w:tc>
        <w:tc>
          <w:tcPr>
            <w:tcW w:w="2693" w:type="dxa"/>
            <w:shd w:val="clear" w:color="auto" w:fill="auto"/>
          </w:tcPr>
          <w:p w14:paraId="4563D86B" w14:textId="77777777" w:rsidR="00491A07" w:rsidRDefault="00491A07" w:rsidP="00491A07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  <w:p w14:paraId="2F1AEA51" w14:textId="77777777" w:rsidR="00491A07" w:rsidRDefault="00491A07" w:rsidP="00491A07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491A07" w14:paraId="707C3138" w14:textId="77777777" w:rsidTr="00491A07">
        <w:trPr>
          <w:trHeight w:val="1122"/>
        </w:trPr>
        <w:tc>
          <w:tcPr>
            <w:tcW w:w="498" w:type="dxa"/>
            <w:shd w:val="clear" w:color="auto" w:fill="auto"/>
          </w:tcPr>
          <w:p w14:paraId="2BBCB866" w14:textId="77777777" w:rsidR="00491A07" w:rsidRDefault="00491A07" w:rsidP="00491A07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6018" w:type="dxa"/>
            <w:shd w:val="clear" w:color="auto" w:fill="auto"/>
          </w:tcPr>
          <w:p w14:paraId="01FAE937" w14:textId="2812345F" w:rsidR="00491A07" w:rsidRDefault="00491A07" w:rsidP="00491A07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RAZEM</w:t>
            </w:r>
          </w:p>
        </w:tc>
        <w:tc>
          <w:tcPr>
            <w:tcW w:w="2693" w:type="dxa"/>
            <w:shd w:val="clear" w:color="auto" w:fill="auto"/>
          </w:tcPr>
          <w:p w14:paraId="11D19363" w14:textId="77777777" w:rsidR="00491A07" w:rsidRDefault="00491A07" w:rsidP="00491A07">
            <w:pPr>
              <w:tabs>
                <w:tab w:val="left" w:pos="2977"/>
              </w:tabs>
              <w:spacing w:line="240" w:lineRule="auto"/>
              <w:jc w:val="right"/>
              <w:rPr>
                <w:rFonts w:ascii="Calibri" w:hAnsi="Calibri" w:cs="Calibri"/>
                <w:sz w:val="24"/>
              </w:rPr>
            </w:pPr>
          </w:p>
        </w:tc>
      </w:tr>
    </w:tbl>
    <w:p w14:paraId="6F98A9A4" w14:textId="77777777" w:rsidR="0093306B" w:rsidRDefault="0093306B" w:rsidP="0093306B">
      <w:pPr>
        <w:tabs>
          <w:tab w:val="left" w:pos="2977"/>
        </w:tabs>
        <w:spacing w:line="240" w:lineRule="auto"/>
        <w:jc w:val="both"/>
        <w:rPr>
          <w:rFonts w:ascii="Calibri" w:hAnsi="Calibri" w:cs="Calibri"/>
          <w:strike/>
        </w:rPr>
      </w:pPr>
    </w:p>
    <w:p w14:paraId="7D5EFDA9" w14:textId="77777777" w:rsidR="00D0266E" w:rsidRDefault="00D0266E"/>
    <w:sectPr w:rsidR="00D026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6165" w14:textId="77777777" w:rsidR="00FA0008" w:rsidRDefault="00FA0008" w:rsidP="0093306B">
      <w:pPr>
        <w:spacing w:line="240" w:lineRule="auto"/>
      </w:pPr>
      <w:r>
        <w:separator/>
      </w:r>
    </w:p>
  </w:endnote>
  <w:endnote w:type="continuationSeparator" w:id="0">
    <w:p w14:paraId="5F53A7D1" w14:textId="77777777" w:rsidR="00FA0008" w:rsidRDefault="00FA0008" w:rsidP="00933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5253" w14:textId="77777777" w:rsidR="00FA0008" w:rsidRDefault="00FA0008" w:rsidP="0093306B">
      <w:pPr>
        <w:spacing w:line="240" w:lineRule="auto"/>
      </w:pPr>
      <w:r>
        <w:separator/>
      </w:r>
    </w:p>
  </w:footnote>
  <w:footnote w:type="continuationSeparator" w:id="0">
    <w:p w14:paraId="4312D060" w14:textId="77777777" w:rsidR="00FA0008" w:rsidRDefault="00FA0008" w:rsidP="009330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C4E3" w14:textId="52AA765E" w:rsidR="0093306B" w:rsidRDefault="0093306B">
    <w:pPr>
      <w:pStyle w:val="Nagwek"/>
    </w:pPr>
    <w:r>
      <w:rPr>
        <w:rFonts w:ascii="Calibri" w:hAnsi="Calibri" w:cs="Calibri"/>
        <w:b/>
        <w:noProof/>
      </w:rPr>
      <w:drawing>
        <wp:inline distT="0" distB="0" distL="0" distR="0" wp14:anchorId="6EB16026" wp14:editId="77B76452">
          <wp:extent cx="5760720" cy="651510"/>
          <wp:effectExtent l="0" t="0" r="0" b="0"/>
          <wp:docPr id="1" name="Obraz 1" descr="Logo  Fundusze Europejskie, Flaga Polski Rzeczpospolita Polska, Flaga Unia Europejska, Logo PARP grupa PFR 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 Fundusze Europejskie, Flaga Polski Rzeczpospolita Polska, Flaga Unia Europejska, Logo PARP grupa PFR 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F129C" w14:textId="77777777" w:rsidR="0093306B" w:rsidRDefault="009330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6B"/>
    <w:rsid w:val="000D0D46"/>
    <w:rsid w:val="00121E87"/>
    <w:rsid w:val="002079C7"/>
    <w:rsid w:val="0022362B"/>
    <w:rsid w:val="003A7018"/>
    <w:rsid w:val="00491211"/>
    <w:rsid w:val="00491A07"/>
    <w:rsid w:val="00760A29"/>
    <w:rsid w:val="007C46F8"/>
    <w:rsid w:val="00931388"/>
    <w:rsid w:val="0093306B"/>
    <w:rsid w:val="00BE52CE"/>
    <w:rsid w:val="00C85F4C"/>
    <w:rsid w:val="00D0266E"/>
    <w:rsid w:val="00FA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944E1"/>
  <w15:chartTrackingRefBased/>
  <w15:docId w15:val="{E6AD5C3E-6BD5-4826-A5D4-D3D407B7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93306B"/>
    <w:pPr>
      <w:spacing w:after="0" w:line="320" w:lineRule="exact"/>
    </w:pPr>
    <w:rPr>
      <w:rFonts w:ascii="Arial" w:eastAsia="Times New Roman" w:hAnsi="Arial" w:cs="Times New Roman"/>
      <w:color w:val="00000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1A07"/>
    <w:pPr>
      <w:keepNext/>
      <w:keepLines/>
      <w:spacing w:before="120" w:line="252" w:lineRule="auto"/>
      <w:jc w:val="both"/>
      <w:outlineLvl w:val="1"/>
    </w:pPr>
    <w:rPr>
      <w:rFonts w:asciiTheme="minorHAnsi" w:eastAsiaTheme="majorEastAsia" w:hAnsiTheme="minorHAnsi" w:cstheme="majorBidi"/>
      <w:b/>
      <w:bCs/>
      <w:color w:val="auto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06B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306B"/>
  </w:style>
  <w:style w:type="paragraph" w:styleId="Stopka">
    <w:name w:val="footer"/>
    <w:basedOn w:val="Normalny"/>
    <w:link w:val="StopkaZnak"/>
    <w:uiPriority w:val="99"/>
    <w:unhideWhenUsed/>
    <w:rsid w:val="0093306B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306B"/>
  </w:style>
  <w:style w:type="character" w:customStyle="1" w:styleId="Nagwek2Znak">
    <w:name w:val="Nagłówek 2 Znak"/>
    <w:basedOn w:val="Domylnaczcionkaakapitu"/>
    <w:link w:val="Nagwek2"/>
    <w:uiPriority w:val="9"/>
    <w:rsid w:val="00491A07"/>
    <w:rPr>
      <w:rFonts w:eastAsiaTheme="majorEastAsia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- tabela</vt:lpstr>
    </vt:vector>
  </TitlesOfParts>
  <Company>PARP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- tabela</dc:title>
  <dc:subject/>
  <dc:creator>Sidorowicz Piotr</dc:creator>
  <cp:keywords/>
  <dc:description/>
  <cp:lastModifiedBy>Sidorowicz Piotr</cp:lastModifiedBy>
  <cp:revision>4</cp:revision>
  <dcterms:created xsi:type="dcterms:W3CDTF">2025-02-18T14:41:00Z</dcterms:created>
  <dcterms:modified xsi:type="dcterms:W3CDTF">2025-02-20T10:08:00Z</dcterms:modified>
</cp:coreProperties>
</file>